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5616E7">
        <w:rPr>
          <w:rFonts w:ascii="Times New Roman" w:hAnsi="Times New Roman"/>
          <w:b/>
          <w:color w:val="0070C0"/>
          <w:sz w:val="32"/>
          <w:szCs w:val="32"/>
        </w:rPr>
        <w:t>обществознанию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5616E7">
        <w:rPr>
          <w:rFonts w:ascii="Times New Roman" w:hAnsi="Times New Roman"/>
          <w:b/>
          <w:color w:val="0070C0"/>
          <w:sz w:val="32"/>
          <w:szCs w:val="32"/>
        </w:rPr>
        <w:t>6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DE6D9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5616E7">
        <w:rPr>
          <w:rFonts w:ascii="Times New Roman" w:hAnsi="Times New Roman" w:cs="Times New Roman"/>
          <w:sz w:val="28"/>
          <w:szCs w:val="24"/>
        </w:rPr>
        <w:t>23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616E7" w:rsidRPr="00312A2B" w:rsidTr="005616E7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6E7" w:rsidRPr="00312A2B" w:rsidRDefault="005616E7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6E7" w:rsidRPr="005616E7" w:rsidRDefault="005616E7" w:rsidP="0056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695686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6E7" w:rsidRPr="005616E7" w:rsidRDefault="005616E7" w:rsidP="0056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6E7" w:rsidRPr="005616E7" w:rsidRDefault="005616E7" w:rsidP="0056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6E7" w:rsidRPr="005616E7" w:rsidRDefault="005616E7" w:rsidP="0056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6E7" w:rsidRPr="005616E7" w:rsidRDefault="005616E7" w:rsidP="0056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12,72</w:t>
            </w:r>
          </w:p>
        </w:tc>
      </w:tr>
      <w:tr w:rsidR="005616E7" w:rsidRPr="00312A2B" w:rsidTr="005616E7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6E7" w:rsidRPr="00312A2B" w:rsidRDefault="005616E7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6E7" w:rsidRPr="005616E7" w:rsidRDefault="005616E7" w:rsidP="0056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6E7" w:rsidRPr="005616E7" w:rsidRDefault="005616E7" w:rsidP="0056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6E7" w:rsidRPr="005616E7" w:rsidRDefault="005616E7" w:rsidP="0056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6E7" w:rsidRPr="005616E7" w:rsidRDefault="005616E7" w:rsidP="0056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6E7" w:rsidRPr="005616E7" w:rsidRDefault="005616E7" w:rsidP="0056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15,99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16E7" w:rsidRDefault="005616E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16E7" w:rsidRDefault="005616E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5616E7">
      <w:pPr>
        <w:ind w:left="-426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01255" cy="9017875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84D96"/>
    <w:rsid w:val="005616E7"/>
    <w:rsid w:val="00663CC5"/>
    <w:rsid w:val="006B51EB"/>
    <w:rsid w:val="00701293"/>
    <w:rsid w:val="0073149B"/>
    <w:rsid w:val="008A5134"/>
    <w:rsid w:val="008E5635"/>
    <w:rsid w:val="009A3EA2"/>
    <w:rsid w:val="009E3E45"/>
    <w:rsid w:val="00CB053B"/>
    <w:rsid w:val="00D34DD8"/>
    <w:rsid w:val="00DD4C96"/>
    <w:rsid w:val="00DE3F2D"/>
    <w:rsid w:val="00DE6D95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8.48</c:v>
                </c:pt>
                <c:pt idx="1">
                  <c:v>40.96</c:v>
                </c:pt>
                <c:pt idx="2">
                  <c:v>37.840000000000003</c:v>
                </c:pt>
                <c:pt idx="3">
                  <c:v>12.72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5.23</c:v>
                </c:pt>
                <c:pt idx="1">
                  <c:v>35.4</c:v>
                </c:pt>
                <c:pt idx="2">
                  <c:v>43.38</c:v>
                </c:pt>
                <c:pt idx="3">
                  <c:v>15.99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4606848"/>
        <c:axId val="66140928"/>
      </c:barChart>
      <c:catAx>
        <c:axId val="54606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6140928"/>
        <c:crosses val="autoZero"/>
        <c:auto val="1"/>
        <c:lblAlgn val="ctr"/>
        <c:lblOffset val="100"/>
        <c:noMultiLvlLbl val="0"/>
      </c:catAx>
      <c:valAx>
        <c:axId val="661409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4606848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Лист1!$A$2:$A$25</c:f>
              <c:numCache>
                <c:formatCode>General</c:formatCode>
                <c:ptCount val="24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</c:numCache>
            </c:numRef>
          </c:cat>
          <c:val>
            <c:numRef>
              <c:f>Лист1!$B$2:$B$25</c:f>
              <c:numCache>
                <c:formatCode>General</c:formatCode>
                <c:ptCount val="24"/>
                <c:pt idx="0">
                  <c:v>0.2</c:v>
                </c:pt>
                <c:pt idx="1">
                  <c:v>0.2</c:v>
                </c:pt>
                <c:pt idx="2">
                  <c:v>0.5</c:v>
                </c:pt>
                <c:pt idx="3">
                  <c:v>0.7</c:v>
                </c:pt>
                <c:pt idx="4">
                  <c:v>1</c:v>
                </c:pt>
                <c:pt idx="5">
                  <c:v>1.2</c:v>
                </c:pt>
                <c:pt idx="6">
                  <c:v>1.5</c:v>
                </c:pt>
                <c:pt idx="7">
                  <c:v>1.7</c:v>
                </c:pt>
                <c:pt idx="8">
                  <c:v>1.7</c:v>
                </c:pt>
                <c:pt idx="9">
                  <c:v>9.1999999999999993</c:v>
                </c:pt>
                <c:pt idx="10">
                  <c:v>7.4</c:v>
                </c:pt>
                <c:pt idx="11">
                  <c:v>6.7</c:v>
                </c:pt>
                <c:pt idx="12">
                  <c:v>6.5</c:v>
                </c:pt>
                <c:pt idx="13">
                  <c:v>6.2</c:v>
                </c:pt>
                <c:pt idx="14">
                  <c:v>5.2</c:v>
                </c:pt>
                <c:pt idx="15">
                  <c:v>11.4</c:v>
                </c:pt>
                <c:pt idx="16">
                  <c:v>8.8000000000000007</c:v>
                </c:pt>
                <c:pt idx="17">
                  <c:v>7.2</c:v>
                </c:pt>
                <c:pt idx="18">
                  <c:v>5.9</c:v>
                </c:pt>
                <c:pt idx="19">
                  <c:v>4.3</c:v>
                </c:pt>
                <c:pt idx="20">
                  <c:v>5.9</c:v>
                </c:pt>
                <c:pt idx="21">
                  <c:v>3.8</c:v>
                </c:pt>
                <c:pt idx="22">
                  <c:v>2</c:v>
                </c:pt>
                <c:pt idx="23">
                  <c:v>0.7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Лист1!$A$2:$A$25</c:f>
              <c:numCache>
                <c:formatCode>General</c:formatCode>
                <c:ptCount val="24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</c:numCache>
            </c:numRef>
          </c:cat>
          <c:val>
            <c:numRef>
              <c:f>Лист1!$C$2:$C$25</c:f>
              <c:numCache>
                <c:formatCode>General</c:formatCode>
                <c:ptCount val="24"/>
                <c:pt idx="0">
                  <c:v>0.1</c:v>
                </c:pt>
                <c:pt idx="1">
                  <c:v>0.1</c:v>
                </c:pt>
                <c:pt idx="2">
                  <c:v>0.2</c:v>
                </c:pt>
                <c:pt idx="3">
                  <c:v>0.2</c:v>
                </c:pt>
                <c:pt idx="4">
                  <c:v>0.6</c:v>
                </c:pt>
                <c:pt idx="5">
                  <c:v>0.9</c:v>
                </c:pt>
                <c:pt idx="6">
                  <c:v>0.9</c:v>
                </c:pt>
                <c:pt idx="7">
                  <c:v>1.2</c:v>
                </c:pt>
                <c:pt idx="8">
                  <c:v>1.2</c:v>
                </c:pt>
                <c:pt idx="9">
                  <c:v>7.2</c:v>
                </c:pt>
                <c:pt idx="10">
                  <c:v>5.9</c:v>
                </c:pt>
                <c:pt idx="11">
                  <c:v>5.7</c:v>
                </c:pt>
                <c:pt idx="12">
                  <c:v>5.5</c:v>
                </c:pt>
                <c:pt idx="13">
                  <c:v>6</c:v>
                </c:pt>
                <c:pt idx="14">
                  <c:v>5.4</c:v>
                </c:pt>
                <c:pt idx="15">
                  <c:v>12.8</c:v>
                </c:pt>
                <c:pt idx="16">
                  <c:v>10.199999999999999</c:v>
                </c:pt>
                <c:pt idx="17">
                  <c:v>8.1</c:v>
                </c:pt>
                <c:pt idx="18">
                  <c:v>6.7</c:v>
                </c:pt>
                <c:pt idx="19">
                  <c:v>5.4</c:v>
                </c:pt>
                <c:pt idx="20">
                  <c:v>7.5</c:v>
                </c:pt>
                <c:pt idx="21">
                  <c:v>4.8</c:v>
                </c:pt>
                <c:pt idx="22">
                  <c:v>2.5</c:v>
                </c:pt>
                <c:pt idx="23">
                  <c:v>1.1000000000000001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6943232"/>
        <c:axId val="50409984"/>
      </c:barChart>
      <c:catAx>
        <c:axId val="4694323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50409984"/>
        <c:crosses val="autoZero"/>
        <c:auto val="1"/>
        <c:lblAlgn val="ctr"/>
        <c:lblOffset val="100"/>
        <c:noMultiLvlLbl val="0"/>
      </c:catAx>
      <c:valAx>
        <c:axId val="50409984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694323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41.48</c:v>
                </c:pt>
                <c:pt idx="1">
                  <c:v>53.14</c:v>
                </c:pt>
                <c:pt idx="2">
                  <c:v>5.38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6936576"/>
        <c:axId val="50408832"/>
      </c:barChart>
      <c:catAx>
        <c:axId val="46936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0408832"/>
        <c:crosses val="autoZero"/>
        <c:auto val="1"/>
        <c:lblAlgn val="ctr"/>
        <c:lblOffset val="100"/>
        <c:noMultiLvlLbl val="0"/>
      </c:catAx>
      <c:valAx>
        <c:axId val="50408832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693657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Лист1!$A$2:$A$18</c:f>
              <c:numCache>
                <c:formatCode>General</c:formatCode>
                <c:ptCount val="17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3.3</c:v>
                </c:pt>
                <c:pt idx="6">
                  <c:v>4</c:v>
                </c:pt>
                <c:pt idx="7">
                  <c:v>5.0999999999999996</c:v>
                </c:pt>
                <c:pt idx="8">
                  <c:v>5.2</c:v>
                </c:pt>
                <c:pt idx="9">
                  <c:v>5.3</c:v>
                </c:pt>
                <c:pt idx="10">
                  <c:v>6.1</c:v>
                </c:pt>
                <c:pt idx="11">
                  <c:v>6.2</c:v>
                </c:pt>
                <c:pt idx="12">
                  <c:v>7.1</c:v>
                </c:pt>
                <c:pt idx="13">
                  <c:v>7.2</c:v>
                </c:pt>
                <c:pt idx="14">
                  <c:v>8.1</c:v>
                </c:pt>
                <c:pt idx="15">
                  <c:v>8.1999999999999993</c:v>
                </c:pt>
                <c:pt idx="16">
                  <c:v>8.3000000000000007</c:v>
                </c:pt>
              </c:numCache>
            </c:num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80.209999999999994</c:v>
                </c:pt>
                <c:pt idx="1">
                  <c:v>60.6</c:v>
                </c:pt>
                <c:pt idx="2">
                  <c:v>58.71</c:v>
                </c:pt>
                <c:pt idx="3">
                  <c:v>74.42</c:v>
                </c:pt>
                <c:pt idx="4">
                  <c:v>68.84</c:v>
                </c:pt>
                <c:pt idx="5">
                  <c:v>83.6</c:v>
                </c:pt>
                <c:pt idx="6">
                  <c:v>72.88</c:v>
                </c:pt>
                <c:pt idx="7">
                  <c:v>76.22</c:v>
                </c:pt>
                <c:pt idx="8">
                  <c:v>58.09</c:v>
                </c:pt>
                <c:pt idx="9">
                  <c:v>73.650000000000006</c:v>
                </c:pt>
                <c:pt idx="10">
                  <c:v>45.07</c:v>
                </c:pt>
                <c:pt idx="11">
                  <c:v>26.26</c:v>
                </c:pt>
                <c:pt idx="12">
                  <c:v>63.94</c:v>
                </c:pt>
                <c:pt idx="13">
                  <c:v>66.8</c:v>
                </c:pt>
                <c:pt idx="14">
                  <c:v>64.83</c:v>
                </c:pt>
                <c:pt idx="15">
                  <c:v>36.69</c:v>
                </c:pt>
                <c:pt idx="16">
                  <c:v>46.91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Лист1!$A$2:$A$18</c:f>
              <c:numCache>
                <c:formatCode>General</c:formatCode>
                <c:ptCount val="17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3.3</c:v>
                </c:pt>
                <c:pt idx="6">
                  <c:v>4</c:v>
                </c:pt>
                <c:pt idx="7">
                  <c:v>5.0999999999999996</c:v>
                </c:pt>
                <c:pt idx="8">
                  <c:v>5.2</c:v>
                </c:pt>
                <c:pt idx="9">
                  <c:v>5.3</c:v>
                </c:pt>
                <c:pt idx="10">
                  <c:v>6.1</c:v>
                </c:pt>
                <c:pt idx="11">
                  <c:v>6.2</c:v>
                </c:pt>
                <c:pt idx="12">
                  <c:v>7.1</c:v>
                </c:pt>
                <c:pt idx="13">
                  <c:v>7.2</c:v>
                </c:pt>
                <c:pt idx="14">
                  <c:v>8.1</c:v>
                </c:pt>
                <c:pt idx="15">
                  <c:v>8.1999999999999993</c:v>
                </c:pt>
                <c:pt idx="16">
                  <c:v>8.3000000000000007</c:v>
                </c:pt>
              </c:numCache>
            </c:numRef>
          </c:cat>
          <c:val>
            <c:numRef>
              <c:f>Лист1!$C$2:$C$18</c:f>
              <c:numCache>
                <c:formatCode>General</c:formatCode>
                <c:ptCount val="17"/>
                <c:pt idx="0">
                  <c:v>82.41</c:v>
                </c:pt>
                <c:pt idx="1">
                  <c:v>64.62</c:v>
                </c:pt>
                <c:pt idx="2">
                  <c:v>60.67</c:v>
                </c:pt>
                <c:pt idx="3">
                  <c:v>79.3</c:v>
                </c:pt>
                <c:pt idx="4">
                  <c:v>70.23</c:v>
                </c:pt>
                <c:pt idx="5">
                  <c:v>88.72</c:v>
                </c:pt>
                <c:pt idx="6">
                  <c:v>75.87</c:v>
                </c:pt>
                <c:pt idx="7">
                  <c:v>76.739999999999995</c:v>
                </c:pt>
                <c:pt idx="8">
                  <c:v>59.62</c:v>
                </c:pt>
                <c:pt idx="9">
                  <c:v>75.489999999999995</c:v>
                </c:pt>
                <c:pt idx="10">
                  <c:v>42.41</c:v>
                </c:pt>
                <c:pt idx="11">
                  <c:v>22.47</c:v>
                </c:pt>
                <c:pt idx="12">
                  <c:v>67.75</c:v>
                </c:pt>
                <c:pt idx="13">
                  <c:v>67.41</c:v>
                </c:pt>
                <c:pt idx="14">
                  <c:v>75.7</c:v>
                </c:pt>
                <c:pt idx="15">
                  <c:v>46.77</c:v>
                </c:pt>
                <c:pt idx="16">
                  <c:v>56.28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6937088"/>
        <c:axId val="50407104"/>
      </c:barChart>
      <c:catAx>
        <c:axId val="469370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0407104"/>
        <c:crosses val="autoZero"/>
        <c:auto val="1"/>
        <c:lblAlgn val="ctr"/>
        <c:lblOffset val="100"/>
        <c:noMultiLvlLbl val="0"/>
      </c:catAx>
      <c:valAx>
        <c:axId val="5040710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6937088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Лист1!$A$2:$A$18</c:f>
              <c:numCache>
                <c:formatCode>General</c:formatCode>
                <c:ptCount val="17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3.3</c:v>
                </c:pt>
                <c:pt idx="6">
                  <c:v>4</c:v>
                </c:pt>
                <c:pt idx="7">
                  <c:v>5.0999999999999996</c:v>
                </c:pt>
                <c:pt idx="8">
                  <c:v>5.2</c:v>
                </c:pt>
                <c:pt idx="9">
                  <c:v>5.3</c:v>
                </c:pt>
                <c:pt idx="10">
                  <c:v>6.1</c:v>
                </c:pt>
                <c:pt idx="11">
                  <c:v>6.2</c:v>
                </c:pt>
                <c:pt idx="12">
                  <c:v>7.1</c:v>
                </c:pt>
                <c:pt idx="13">
                  <c:v>7.2</c:v>
                </c:pt>
                <c:pt idx="14">
                  <c:v>8.1</c:v>
                </c:pt>
                <c:pt idx="15">
                  <c:v>8.1999999999999993</c:v>
                </c:pt>
                <c:pt idx="16">
                  <c:v>8.3000000000000007</c:v>
                </c:pt>
              </c:numCache>
            </c:num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48.04</c:v>
                </c:pt>
                <c:pt idx="1">
                  <c:v>25.51</c:v>
                </c:pt>
                <c:pt idx="2">
                  <c:v>31.84</c:v>
                </c:pt>
                <c:pt idx="3">
                  <c:v>44.41</c:v>
                </c:pt>
                <c:pt idx="4">
                  <c:v>25.7</c:v>
                </c:pt>
                <c:pt idx="5">
                  <c:v>50.28</c:v>
                </c:pt>
                <c:pt idx="6">
                  <c:v>49.16</c:v>
                </c:pt>
                <c:pt idx="7">
                  <c:v>42.46</c:v>
                </c:pt>
                <c:pt idx="8">
                  <c:v>12.29</c:v>
                </c:pt>
                <c:pt idx="9">
                  <c:v>37.99</c:v>
                </c:pt>
                <c:pt idx="10">
                  <c:v>10.06</c:v>
                </c:pt>
                <c:pt idx="11">
                  <c:v>1.1200000000000001</c:v>
                </c:pt>
                <c:pt idx="12">
                  <c:v>26.54</c:v>
                </c:pt>
                <c:pt idx="13">
                  <c:v>14.53</c:v>
                </c:pt>
                <c:pt idx="14">
                  <c:v>16.2</c:v>
                </c:pt>
                <c:pt idx="15">
                  <c:v>5.4</c:v>
                </c:pt>
                <c:pt idx="16">
                  <c:v>3.91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Лист1!$A$2:$A$18</c:f>
              <c:numCache>
                <c:formatCode>General</c:formatCode>
                <c:ptCount val="17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3.3</c:v>
                </c:pt>
                <c:pt idx="6">
                  <c:v>4</c:v>
                </c:pt>
                <c:pt idx="7">
                  <c:v>5.0999999999999996</c:v>
                </c:pt>
                <c:pt idx="8">
                  <c:v>5.2</c:v>
                </c:pt>
                <c:pt idx="9">
                  <c:v>5.3</c:v>
                </c:pt>
                <c:pt idx="10">
                  <c:v>6.1</c:v>
                </c:pt>
                <c:pt idx="11">
                  <c:v>6.2</c:v>
                </c:pt>
                <c:pt idx="12">
                  <c:v>7.1</c:v>
                </c:pt>
                <c:pt idx="13">
                  <c:v>7.2</c:v>
                </c:pt>
                <c:pt idx="14">
                  <c:v>8.1</c:v>
                </c:pt>
                <c:pt idx="15">
                  <c:v>8.1999999999999993</c:v>
                </c:pt>
                <c:pt idx="16">
                  <c:v>8.3000000000000007</c:v>
                </c:pt>
              </c:numCache>
            </c:numRef>
          </c:cat>
          <c:val>
            <c:numRef>
              <c:f>Лист1!$C$2:$C$18</c:f>
              <c:numCache>
                <c:formatCode>General</c:formatCode>
                <c:ptCount val="17"/>
                <c:pt idx="0">
                  <c:v>72.42</c:v>
                </c:pt>
                <c:pt idx="1">
                  <c:v>49.52</c:v>
                </c:pt>
                <c:pt idx="2">
                  <c:v>53.26</c:v>
                </c:pt>
                <c:pt idx="3">
                  <c:v>69.53</c:v>
                </c:pt>
                <c:pt idx="4">
                  <c:v>55.57</c:v>
                </c:pt>
                <c:pt idx="5">
                  <c:v>82.25</c:v>
                </c:pt>
                <c:pt idx="6">
                  <c:v>67.3</c:v>
                </c:pt>
                <c:pt idx="7">
                  <c:v>62.84</c:v>
                </c:pt>
                <c:pt idx="8">
                  <c:v>39.799999999999997</c:v>
                </c:pt>
                <c:pt idx="9">
                  <c:v>62.51</c:v>
                </c:pt>
                <c:pt idx="10">
                  <c:v>23.7</c:v>
                </c:pt>
                <c:pt idx="11">
                  <c:v>6.69</c:v>
                </c:pt>
                <c:pt idx="12">
                  <c:v>53.67</c:v>
                </c:pt>
                <c:pt idx="13">
                  <c:v>52.85</c:v>
                </c:pt>
                <c:pt idx="14">
                  <c:v>57.89</c:v>
                </c:pt>
                <c:pt idx="15">
                  <c:v>25.38</c:v>
                </c:pt>
                <c:pt idx="16">
                  <c:v>30.47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Лист1!$A$2:$A$18</c:f>
              <c:numCache>
                <c:formatCode>General</c:formatCode>
                <c:ptCount val="17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3.3</c:v>
                </c:pt>
                <c:pt idx="6">
                  <c:v>4</c:v>
                </c:pt>
                <c:pt idx="7">
                  <c:v>5.0999999999999996</c:v>
                </c:pt>
                <c:pt idx="8">
                  <c:v>5.2</c:v>
                </c:pt>
                <c:pt idx="9">
                  <c:v>5.3</c:v>
                </c:pt>
                <c:pt idx="10">
                  <c:v>6.1</c:v>
                </c:pt>
                <c:pt idx="11">
                  <c:v>6.2</c:v>
                </c:pt>
                <c:pt idx="12">
                  <c:v>7.1</c:v>
                </c:pt>
                <c:pt idx="13">
                  <c:v>7.2</c:v>
                </c:pt>
                <c:pt idx="14">
                  <c:v>8.1</c:v>
                </c:pt>
                <c:pt idx="15">
                  <c:v>8.1999999999999993</c:v>
                </c:pt>
                <c:pt idx="16">
                  <c:v>8.3000000000000007</c:v>
                </c:pt>
              </c:numCache>
            </c:numRef>
          </c:cat>
          <c:val>
            <c:numRef>
              <c:f>Лист1!$D$2:$D$18</c:f>
              <c:numCache>
                <c:formatCode>General</c:formatCode>
                <c:ptCount val="17"/>
                <c:pt idx="0">
                  <c:v>89.29</c:v>
                </c:pt>
                <c:pt idx="1">
                  <c:v>71.63</c:v>
                </c:pt>
                <c:pt idx="2">
                  <c:v>63.14</c:v>
                </c:pt>
                <c:pt idx="3">
                  <c:v>85.44</c:v>
                </c:pt>
                <c:pt idx="4">
                  <c:v>78.569999999999993</c:v>
                </c:pt>
                <c:pt idx="5">
                  <c:v>94.81</c:v>
                </c:pt>
                <c:pt idx="6">
                  <c:v>81.739999999999995</c:v>
                </c:pt>
                <c:pt idx="7">
                  <c:v>84.57</c:v>
                </c:pt>
                <c:pt idx="8">
                  <c:v>69.41</c:v>
                </c:pt>
                <c:pt idx="9">
                  <c:v>83.15</c:v>
                </c:pt>
                <c:pt idx="10">
                  <c:v>47.98</c:v>
                </c:pt>
                <c:pt idx="11">
                  <c:v>23.11</c:v>
                </c:pt>
                <c:pt idx="12">
                  <c:v>75.739999999999995</c:v>
                </c:pt>
                <c:pt idx="13">
                  <c:v>76.75</c:v>
                </c:pt>
                <c:pt idx="14">
                  <c:v>89.62</c:v>
                </c:pt>
                <c:pt idx="15">
                  <c:v>55.84</c:v>
                </c:pt>
                <c:pt idx="16">
                  <c:v>70.349999999999994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Лист1!$A$2:$A$18</c:f>
              <c:numCache>
                <c:formatCode>General</c:formatCode>
                <c:ptCount val="17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3.3</c:v>
                </c:pt>
                <c:pt idx="6">
                  <c:v>4</c:v>
                </c:pt>
                <c:pt idx="7">
                  <c:v>5.0999999999999996</c:v>
                </c:pt>
                <c:pt idx="8">
                  <c:v>5.2</c:v>
                </c:pt>
                <c:pt idx="9">
                  <c:v>5.3</c:v>
                </c:pt>
                <c:pt idx="10">
                  <c:v>6.1</c:v>
                </c:pt>
                <c:pt idx="11">
                  <c:v>6.2</c:v>
                </c:pt>
                <c:pt idx="12">
                  <c:v>7.1</c:v>
                </c:pt>
                <c:pt idx="13">
                  <c:v>7.2</c:v>
                </c:pt>
                <c:pt idx="14">
                  <c:v>8.1</c:v>
                </c:pt>
                <c:pt idx="15">
                  <c:v>8.1999999999999993</c:v>
                </c:pt>
                <c:pt idx="16">
                  <c:v>8.3000000000000007</c:v>
                </c:pt>
              </c:numCache>
            </c:numRef>
          </c:cat>
          <c:val>
            <c:numRef>
              <c:f>Лист1!$E$2:$E$18</c:f>
              <c:numCache>
                <c:formatCode>General</c:formatCode>
                <c:ptCount val="17"/>
                <c:pt idx="0">
                  <c:v>97.26</c:v>
                </c:pt>
                <c:pt idx="1">
                  <c:v>91.77</c:v>
                </c:pt>
                <c:pt idx="2">
                  <c:v>79.89</c:v>
                </c:pt>
                <c:pt idx="3">
                  <c:v>95.52</c:v>
                </c:pt>
                <c:pt idx="4">
                  <c:v>93.97</c:v>
                </c:pt>
                <c:pt idx="5">
                  <c:v>98.72</c:v>
                </c:pt>
                <c:pt idx="6">
                  <c:v>88.48</c:v>
                </c:pt>
                <c:pt idx="7">
                  <c:v>96.89</c:v>
                </c:pt>
                <c:pt idx="8">
                  <c:v>92.14</c:v>
                </c:pt>
                <c:pt idx="9">
                  <c:v>96.34</c:v>
                </c:pt>
                <c:pt idx="10">
                  <c:v>80.8</c:v>
                </c:pt>
                <c:pt idx="11">
                  <c:v>63.44</c:v>
                </c:pt>
                <c:pt idx="12">
                  <c:v>92.96</c:v>
                </c:pt>
                <c:pt idx="13">
                  <c:v>93.97</c:v>
                </c:pt>
                <c:pt idx="14">
                  <c:v>98.9</c:v>
                </c:pt>
                <c:pt idx="15">
                  <c:v>84.58</c:v>
                </c:pt>
                <c:pt idx="16">
                  <c:v>94.33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6941184"/>
        <c:axId val="50412864"/>
      </c:lineChart>
      <c:catAx>
        <c:axId val="46941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0412864"/>
        <c:crosses val="autoZero"/>
        <c:auto val="1"/>
        <c:lblAlgn val="ctr"/>
        <c:lblOffset val="100"/>
        <c:noMultiLvlLbl val="0"/>
      </c:catAx>
      <c:valAx>
        <c:axId val="5041286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694118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86940382296272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Лист1!$A$2:$A$18</c:f>
              <c:strCache>
                <c:ptCount val="17"/>
                <c:pt idx="0">
                  <c:v>1.1.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</c:v>
                </c:pt>
                <c:pt idx="1">
                  <c:v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
Выполнять несложные практические задания по анализу ситуаций, связанных с различными способами раз</c:v>
                </c:pt>
                <c:pt idx="2">
                  <c:v>2.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3">
                  <c:v>3.1.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
развитие социального кругозора и формирование познавате</c:v>
                </c:pt>
                <c:pt idx="4">
                  <c:v>3.2.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
развитие социального кругозора и формирование познавате</c:v>
                </c:pt>
                <c:pt idx="5">
                  <c:v>3.3. Находить, извлекать и осмысливать информацию различного характера, полученную из доступных источников (диаграмм), систематизировать, анализировать полученные данные; применять полученную информацию для соотнесения собственного поведения и поступков д</c:v>
                </c:pt>
                <c:pt idx="6">
                  <c:v>4.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7">
                  <c:v>5.1. Понимание основных принципов жизни общества, основ современных научных теорий общественного развития;
формирование основ правосознания для соотнесения собственного поведения и поступков других людей с нравственными ценностями и нормами поведения, уст</c:v>
                </c:pt>
                <c:pt idx="8">
                  <c:v>5.2. развитие социального кругозора и формирование познавательного интереса к изучению общественных дисциплин</c:v>
                </c:pt>
                <c:pt idx="9">
                  <c:v>5.3. Наблюдать и характеризовать явления и события, происходящие в различных сферах общественной жизни</c:v>
                </c:pt>
                <c:pt idx="10">
                  <c:v>6.1.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</c:v>
                </c:pt>
                <c:pt idx="11">
                  <c:v>6.2. Выполнять несложные практические задания, основанные на ситуациях жизнедеятельности человека в разных сферах общества</c:v>
                </c:pt>
                <c:pt idx="12">
                  <c:v>7.1.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</c:v>
                </c:pt>
                <c:pt idx="13">
                  <c:v>7.2. 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</c:v>
                </c:pt>
                <c:pt idx="14">
                  <c:v>8.1.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</c:v>
                </c:pt>
                <c:pt idx="15">
                  <c:v>8.2.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</c:v>
                </c:pt>
                <c:pt idx="16">
                  <c:v>8.3. 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</c:v>
                </c:pt>
              </c:strCache>
            </c:str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80.209999999999994</c:v>
                </c:pt>
                <c:pt idx="1">
                  <c:v>60.6</c:v>
                </c:pt>
                <c:pt idx="2">
                  <c:v>58.71</c:v>
                </c:pt>
                <c:pt idx="3">
                  <c:v>74.42</c:v>
                </c:pt>
                <c:pt idx="4">
                  <c:v>68.84</c:v>
                </c:pt>
                <c:pt idx="5">
                  <c:v>83.6</c:v>
                </c:pt>
                <c:pt idx="6">
                  <c:v>72.88</c:v>
                </c:pt>
                <c:pt idx="7">
                  <c:v>76.22</c:v>
                </c:pt>
                <c:pt idx="8">
                  <c:v>58.09</c:v>
                </c:pt>
                <c:pt idx="9">
                  <c:v>73.650000000000006</c:v>
                </c:pt>
                <c:pt idx="10">
                  <c:v>45.07</c:v>
                </c:pt>
                <c:pt idx="11">
                  <c:v>26.26</c:v>
                </c:pt>
                <c:pt idx="12">
                  <c:v>63.94</c:v>
                </c:pt>
                <c:pt idx="13">
                  <c:v>66.8</c:v>
                </c:pt>
                <c:pt idx="14">
                  <c:v>64.83</c:v>
                </c:pt>
                <c:pt idx="15">
                  <c:v>36.69</c:v>
                </c:pt>
                <c:pt idx="16">
                  <c:v>46.91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Лист1!$A$2:$A$18</c:f>
              <c:strCache>
                <c:ptCount val="17"/>
                <c:pt idx="0">
                  <c:v>1.1.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</c:v>
                </c:pt>
                <c:pt idx="1">
                  <c:v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
Выполнять несложные практические задания по анализу ситуаций, связанных с различными способами раз</c:v>
                </c:pt>
                <c:pt idx="2">
                  <c:v>2.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3">
                  <c:v>3.1.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
развитие социального кругозора и формирование познавате</c:v>
                </c:pt>
                <c:pt idx="4">
                  <c:v>3.2.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
развитие социального кругозора и формирование познавате</c:v>
                </c:pt>
                <c:pt idx="5">
                  <c:v>3.3. Находить, извлекать и осмысливать информацию различного характера, полученную из доступных источников (диаграмм), систематизировать, анализировать полученные данные; применять полученную информацию для соотнесения собственного поведения и поступков д</c:v>
                </c:pt>
                <c:pt idx="6">
                  <c:v>4.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7">
                  <c:v>5.1. Понимание основных принципов жизни общества, основ современных научных теорий общественного развития;
формирование основ правосознания для соотнесения собственного поведения и поступков других людей с нравственными ценностями и нормами поведения, уст</c:v>
                </c:pt>
                <c:pt idx="8">
                  <c:v>5.2. развитие социального кругозора и формирование познавательного интереса к изучению общественных дисциплин</c:v>
                </c:pt>
                <c:pt idx="9">
                  <c:v>5.3. Наблюдать и характеризовать явления и события, происходящие в различных сферах общественной жизни</c:v>
                </c:pt>
                <c:pt idx="10">
                  <c:v>6.1.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</c:v>
                </c:pt>
                <c:pt idx="11">
                  <c:v>6.2. Выполнять несложные практические задания, основанные на ситуациях жизнедеятельности человека в разных сферах общества</c:v>
                </c:pt>
                <c:pt idx="12">
                  <c:v>7.1.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</c:v>
                </c:pt>
                <c:pt idx="13">
                  <c:v>7.2. 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</c:v>
                </c:pt>
                <c:pt idx="14">
                  <c:v>8.1.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</c:v>
                </c:pt>
                <c:pt idx="15">
                  <c:v>8.2.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</c:v>
                </c:pt>
                <c:pt idx="16">
                  <c:v>8.3. 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</c:v>
                </c:pt>
              </c:strCache>
            </c:strRef>
          </c:cat>
          <c:val>
            <c:numRef>
              <c:f>Лист1!$C$2:$C$18</c:f>
              <c:numCache>
                <c:formatCode>General</c:formatCode>
                <c:ptCount val="17"/>
                <c:pt idx="0">
                  <c:v>82.41</c:v>
                </c:pt>
                <c:pt idx="1">
                  <c:v>64.62</c:v>
                </c:pt>
                <c:pt idx="2">
                  <c:v>60.67</c:v>
                </c:pt>
                <c:pt idx="3">
                  <c:v>79.3</c:v>
                </c:pt>
                <c:pt idx="4">
                  <c:v>70.23</c:v>
                </c:pt>
                <c:pt idx="5">
                  <c:v>88.72</c:v>
                </c:pt>
                <c:pt idx="6">
                  <c:v>75.87</c:v>
                </c:pt>
                <c:pt idx="7">
                  <c:v>76.739999999999995</c:v>
                </c:pt>
                <c:pt idx="8">
                  <c:v>59.62</c:v>
                </c:pt>
                <c:pt idx="9">
                  <c:v>75.489999999999995</c:v>
                </c:pt>
                <c:pt idx="10">
                  <c:v>42.41</c:v>
                </c:pt>
                <c:pt idx="11">
                  <c:v>22.47</c:v>
                </c:pt>
                <c:pt idx="12">
                  <c:v>67.75</c:v>
                </c:pt>
                <c:pt idx="13">
                  <c:v>67.41</c:v>
                </c:pt>
                <c:pt idx="14">
                  <c:v>75.7</c:v>
                </c:pt>
                <c:pt idx="15">
                  <c:v>46.77</c:v>
                </c:pt>
                <c:pt idx="16">
                  <c:v>56.28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5469056"/>
        <c:axId val="50407680"/>
      </c:barChart>
      <c:catAx>
        <c:axId val="55469056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50407680"/>
        <c:crosses val="autoZero"/>
        <c:auto val="1"/>
        <c:lblAlgn val="ctr"/>
        <c:lblOffset val="100"/>
        <c:noMultiLvlLbl val="0"/>
      </c:catAx>
      <c:valAx>
        <c:axId val="50407680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546905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7912812157847464"/>
          <c:y val="0.97694450928652576"/>
          <c:w val="0.27088600904053661"/>
          <c:h val="2.2465713929279346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4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2021-11-30T13:37:00Z</dcterms:modified>
</cp:coreProperties>
</file>